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54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/>
          <w:lang w:val="en-US" w:eastAsia="zh-CN"/>
        </w:rPr>
        <w:t>附件1</w:t>
      </w:r>
    </w:p>
    <w:p w14:paraId="3AA85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shd w:val="clear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shd w:val="clear"/>
          <w:lang w:val="en-US" w:eastAsia="zh-CN" w:bidi="ar-SA"/>
        </w:rPr>
        <w:t>保洁服务标准及月度绩效考核要求</w:t>
      </w:r>
    </w:p>
    <w:p w14:paraId="6F736D85">
      <w:pPr>
        <w:pStyle w:val="2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200"/>
        <w:jc w:val="both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161616"/>
          <w:spacing w:val="-5"/>
          <w:w w:val="9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服务内容及标准</w:t>
      </w:r>
    </w:p>
    <w:p w14:paraId="1A3BB40F">
      <w:pPr>
        <w:pStyle w:val="3"/>
        <w:keepNext w:val="0"/>
        <w:keepLines w:val="0"/>
        <w:pageBreakBefore w:val="0"/>
        <w:widowControl/>
        <w:numPr>
          <w:ilvl w:val="2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Chars="200" w:right="0" w:rightChars="0"/>
        <w:jc w:val="both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（一）核心服务内容</w:t>
      </w:r>
    </w:p>
    <w:p w14:paraId="121F9139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公共区域保洁：包括走廊、楼梯、电梯厅、卫生间、茶水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间、会议室等公共区域的地面、墙面、门窗、扶手、桌椅、垃圾桶等设施的日常清洁、擦拭、拖洗、垃圾清运，保持区域整洁无杂物、无异味、无污渍。</w:t>
      </w:r>
    </w:p>
    <w:p w14:paraId="2A04E68D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2.办公室保洁：按照甲方要求，对各办公室内地面、桌面、座椅、门窗、绿植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周边等进行日常清洁，整理办公区域杂物，及时清理办公室内垃圾。</w:t>
      </w:r>
    </w:p>
    <w:p w14:paraId="0BD1A5AC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3.消毒杀虫服务：定期对卫生间、茶水间、垃圾桶周边等易滋生蚊虫、细菌的区域进行消毒、杀虫处理。</w:t>
      </w:r>
    </w:p>
    <w:p w14:paraId="00B2B2FC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4.其他保洁：配合甲方完成临时突发的保洁工作（如会议保障、活动场地清理等）。</w:t>
      </w:r>
    </w:p>
    <w:p w14:paraId="0C7095F8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（二）服务标准</w:t>
      </w:r>
    </w:p>
    <w:p w14:paraId="05F9A13C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1.清洁后的区域无明显灰尘、污渍、水渍，门窗玻璃洁净透亮，无手印、划痕。</w:t>
      </w:r>
    </w:p>
    <w:p w14:paraId="76C313EE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2.早上8:30完成公共区域全面清扫一次，重点清扫楼道、擦抹楼梯扶手等，做好巡回保洁，17:00以后完成全面清扫一次，其他时段做好巡回保洁、清运垃圾。</w:t>
      </w:r>
    </w:p>
    <w:p w14:paraId="7E5A4080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3.会议室、接待室、会议服务间、开水房等：会议、接待后的整体保洁，每周一次的全面保洁。</w:t>
      </w:r>
    </w:p>
    <w:p w14:paraId="4CB3044F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卫生间无异味、无积水，洗手台、镜面、洁具洁净；每天定时保洁不少于4次：8:30以前完成清洁一次，中午巡检一次，17:00以后清洁一次、清运垃圾，其余时间不定时巡回保洁。卫生间要定期施放空气清新剂（清洁球），保持卫生间无异味。</w:t>
      </w:r>
    </w:p>
    <w:p w14:paraId="004B31BE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5.其他公共区域：每天计划卫生完成后对门框、窗台、消防栓、指示牌、通风井格栏、垃圾桶的清洁工作不少于2次。</w:t>
      </w:r>
    </w:p>
    <w:p w14:paraId="0F20DE0E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6.垃圾的倾倒：垃圾清运应做到日产日清，不得将垃圾在办公区内放置过夜。垃圾桶外表保持干净，无垃圾外溢情况。</w:t>
      </w:r>
    </w:p>
    <w:p w14:paraId="295FCD79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7.消毒杀虫工作符合国家卫生防疫相关标准，使用的消毒、杀虫药剂为合格产品，且不会对甲方人员健康、办公设施造成损害。</w:t>
      </w:r>
    </w:p>
    <w:p w14:paraId="615E8F0D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8.保洁过程中做到轻拿轻放、文明作业，不影响甲方正常办公秩序。</w:t>
      </w:r>
    </w:p>
    <w:p w14:paraId="394C6315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二、保洁服务月度考核。</w:t>
      </w:r>
    </w:p>
    <w:p w14:paraId="1B822A43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（一）考核内容。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月度考核总分100分，从清洁质量、服务态度与纪律、物资与设备管理、响应速度与配合度四个方面进行考核。</w:t>
      </w:r>
    </w:p>
    <w:p w14:paraId="1D66BAA6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（二）考核结果与费用支付挂钩。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总得分为90分（含）以上，按月度出勤考评后的全额支付当月服务费用；总得分为85分（含）至89分，按月度出勤考评后的90%支付当月服务费用；总得分为80分（含）至84分，按月度出勤考评后的80%支付当月服务费用；总得分为80分以下，按月度出勤考评后的50%支付当月服务费用。连续三个月考核总分为80分以下，有权解除合同。</w:t>
      </w:r>
    </w:p>
    <w:p w14:paraId="06D177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75A86A-2D17-4B5C-990C-B28A42D043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A4ECEC4-8490-4674-BEDB-07F825F0D7D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3A9A41D-7CAE-4FF7-B908-F9C038D75DB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8611096-678B-41C3-A46C-3C6758AD71F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9065BBB-6F32-4172-BD6F-37D615DA877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4F5A24"/>
    <w:multiLevelType w:val="multilevel"/>
    <w:tmpl w:val="144F5A24"/>
    <w:lvl w:ilvl="0" w:tentative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3"/>
      <w:suff w:val="nothing"/>
      <w:lvlText w:val="%3、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%3.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nothing"/>
      <w:lvlText w:val="%3.%4.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nothing"/>
      <w:lvlText w:val="%3.%4.%5.%6、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suff w:val="nothing"/>
      <w:lvlText w:val="%3.%4.%5.%6.%7、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suff w:val="nothing"/>
      <w:lvlText w:val="%3.%4.%5.%6.%7.%8、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suff w:val="nothing"/>
      <w:lvlText w:val="（%9）"/>
      <w:lvlJc w:val="left"/>
      <w:pPr>
        <w:ind w:left="992" w:firstLine="0"/>
      </w:pPr>
      <w:rPr>
        <w:rFonts w:hint="eastAsia" w:ascii="宋体" w:hAnsi="宋体" w:eastAsia="宋体"/>
        <w:b w:val="0"/>
        <w:bCs w:val="0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A3D4B"/>
    <w:rsid w:val="351A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/>
      <w:numPr>
        <w:ilvl w:val="1"/>
        <w:numId w:val="1"/>
      </w:numPr>
      <w:adjustRightInd w:val="0"/>
      <w:snapToGrid w:val="0"/>
      <w:spacing w:line="360" w:lineRule="auto"/>
      <w:jc w:val="center"/>
      <w:outlineLvl w:val="1"/>
    </w:pPr>
    <w:rPr>
      <w:color w:val="000000" w:themeColor="text1"/>
      <w:kern w:val="0"/>
      <w14:textFill>
        <w14:solidFill>
          <w14:schemeClr w14:val="tx1"/>
        </w14:solidFill>
      </w14:textFill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widowControl/>
      <w:numPr>
        <w:ilvl w:val="2"/>
        <w:numId w:val="1"/>
      </w:numPr>
      <w:adjustRightInd w:val="0"/>
      <w:snapToGrid w:val="0"/>
      <w:spacing w:line="360" w:lineRule="auto"/>
      <w:jc w:val="center"/>
      <w:outlineLvl w:val="2"/>
    </w:pPr>
    <w:rPr>
      <w:rFonts w:ascii="楷体" w:hAnsi="楷体" w:eastAsia="楷体"/>
      <w:b/>
      <w:bCs/>
      <w:color w:val="000000" w:themeColor="text1"/>
      <w:kern w:val="0"/>
      <w:szCs w:val="28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2026-02-25T10:38:00Z</dcterms:created>
  <dc:creator>朱嘉欣</dc:creator>
  <cp:lastModifiedBy>朱嘉欣</cp:lastModifiedBy>
  <dcterms:modified xsi:type="dcterms:W3CDTF">2026-02-25T10:40:08Z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21CB77D7071D4448A2F72DCD96D492AE_11</vt:lpwstr>
  </property>
  <property fmtid="{D5CDD505-2E9C-101B-9397-08002B2CF9AE}" pid="4" name="KSOTemplateDocerSaveRecord">
    <vt:lpwstr>eyJoZGlkIjoiMzEwNTM5NzYwMDRjMzkwZTVkZjY2ODkwMGIxNGU0OTUiLCJ1c2VySWQiOiIxMDg1MzU2MTQ3In0=</vt:lpwstr>
  </property>
</Properties>
</file>