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2A67FA">
      <w:pPr>
        <w:adjustRightInd w:val="0"/>
        <w:snapToGrid w:val="0"/>
        <w:spacing w:line="560" w:lineRule="exact"/>
        <w:jc w:val="center"/>
        <w:rPr>
          <w:rFonts w:hint="eastAsia" w:ascii="黑体" w:hAnsi="黑体" w:eastAsia="方正小标宋简体" w:cs="黑体"/>
          <w:color w:val="000000" w:themeColor="text1"/>
          <w:spacing w:val="-3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>四川种业产业综合体</w:t>
      </w:r>
      <w:r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>（含</w:t>
      </w:r>
      <w:r>
        <w:rPr>
          <w:rFonts w:hint="default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>万安实验室</w:t>
      </w:r>
      <w:r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>）</w:t>
      </w:r>
      <w:r>
        <w:rPr>
          <w:rFonts w:hint="default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>建设工程招标代理机构</w:t>
      </w:r>
      <w:r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t>比选公告</w:t>
      </w:r>
      <w:r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>附件</w:t>
      </w:r>
    </w:p>
    <w:p w14:paraId="3D8C752F">
      <w:pPr>
        <w:adjustRightInd w:val="0"/>
        <w:snapToGrid w:val="0"/>
        <w:spacing w:line="560" w:lineRule="exact"/>
        <w:rPr>
          <w:rFonts w:hint="eastAsia" w:ascii="黑体" w:hAnsi="黑体" w:eastAsia="黑体" w:cs="黑体"/>
          <w:color w:val="000000" w:themeColor="text1"/>
          <w:spacing w:val="-3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 w14:paraId="7DB88BDB">
      <w:pPr>
        <w:adjustRightInd w:val="0"/>
        <w:snapToGrid w:val="0"/>
        <w:spacing w:line="560" w:lineRule="exact"/>
        <w:rPr>
          <w:rFonts w:hint="eastAsia" w:ascii="黑体" w:hAnsi="黑体" w:eastAsia="黑体" w:cs="黑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pacing w:val="-3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附件1</w:t>
      </w:r>
    </w:p>
    <w:p w14:paraId="2BDA4406">
      <w:pPr>
        <w:adjustRightInd w:val="0"/>
        <w:snapToGrid w:val="0"/>
        <w:spacing w:line="560" w:lineRule="exact"/>
        <w:rPr>
          <w:rFonts w:ascii="Arial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</w:p>
    <w:p w14:paraId="6F707092">
      <w:pPr>
        <w:adjustRightInd w:val="0"/>
        <w:snapToGrid w:val="0"/>
        <w:spacing w:line="560" w:lineRule="exact"/>
        <w:jc w:val="center"/>
        <w:rPr>
          <w:rFonts w:hint="default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</w:pPr>
      <w:r>
        <w:rPr>
          <w:rFonts w:hint="default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>四川种业产业综合体</w:t>
      </w:r>
      <w:r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>（含</w:t>
      </w:r>
      <w:r>
        <w:rPr>
          <w:rFonts w:hint="default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>万安实验室</w:t>
      </w:r>
      <w:r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>）项目基本情况</w:t>
      </w:r>
    </w:p>
    <w:p w14:paraId="479B7B70">
      <w:pPr>
        <w:adjustRightInd w:val="0"/>
        <w:snapToGrid w:val="0"/>
        <w:spacing w:line="560" w:lineRule="exact"/>
        <w:rPr>
          <w:rFonts w:ascii="Arial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</w:p>
    <w:p w14:paraId="32DB4ED5">
      <w:pPr>
        <w:adjustRightInd w:val="0"/>
        <w:snapToGrid w:val="0"/>
        <w:spacing w:line="560" w:lineRule="exact"/>
        <w:ind w:firstLine="656" w:firstLineChars="205"/>
        <w:rPr>
          <w:rFonts w:ascii="Times New Roman" w:hAnsi="Times New Roman" w:eastAsia="仿宋" w:cs="Times New Roman"/>
          <w:color w:val="000000" w:themeColor="text1"/>
          <w:kern w:val="0"/>
          <w:sz w:val="32"/>
          <w:szCs w:val="32"/>
          <w:highlight w:val="none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kern w:val="0"/>
          <w:sz w:val="32"/>
          <w:szCs w:val="32"/>
          <w:highlight w:val="none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综合体项目选址四川省</w:t>
      </w:r>
      <w:bookmarkStart w:id="0" w:name="_GoBack"/>
      <w:bookmarkEnd w:id="0"/>
      <w:r>
        <w:rPr>
          <w:rFonts w:hint="eastAsia" w:ascii="Times New Roman" w:hAnsi="Times New Roman" w:eastAsia="仿宋" w:cs="Times New Roman"/>
          <w:color w:val="000000" w:themeColor="text1"/>
          <w:kern w:val="0"/>
          <w:sz w:val="32"/>
          <w:szCs w:val="32"/>
          <w:highlight w:val="none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成都市天府新区万安街道麓山大道二段韩婆岭村。项目用地南侧靠近快速路麓山大道二段，由西至东为主要车流来向；北侧靠近泉岭新村村委会；东侧靠近城市支路韩双路和住宅小区海昌天澜，韩双路开有海昌天澜次入口；中部有一规划城市支路（可根据后期管理需求调整为断头路）与西侧规划城市支路相连。项目占地面积约196.22亩，其中集体建设用地55.46亩、农用地140.76亩。</w:t>
      </w:r>
    </w:p>
    <w:p w14:paraId="226BFE5F">
      <w:pPr>
        <w:adjustRightInd w:val="0"/>
        <w:snapToGrid w:val="0"/>
        <w:rPr>
          <w:rFonts w:ascii="Arial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</w:p>
    <w:p w14:paraId="240A56CF">
      <w:pPr>
        <w:adjustRightInd w:val="0"/>
        <w:snapToGrid w:val="0"/>
        <w:rPr>
          <w:rFonts w:ascii="Arial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highlight w:val="none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490220</wp:posOffset>
            </wp:positionH>
            <wp:positionV relativeFrom="paragraph">
              <wp:posOffset>161290</wp:posOffset>
            </wp:positionV>
            <wp:extent cx="4472940" cy="3337560"/>
            <wp:effectExtent l="0" t="0" r="7620" b="0"/>
            <wp:wrapTopAndBottom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7294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B103F0">
      <w:pPr>
        <w:adjustRightInd w:val="0"/>
        <w:snapToGrid w:val="0"/>
        <w:spacing w:line="560" w:lineRule="exact"/>
        <w:ind w:firstLine="656" w:firstLineChars="205"/>
        <w:rPr>
          <w:rFonts w:ascii="Times New Roman" w:hAnsi="Times New Roman" w:eastAsia="仿宋" w:cs="Times New Roman"/>
          <w:color w:val="000000" w:themeColor="text1"/>
          <w:kern w:val="0"/>
          <w:sz w:val="32"/>
          <w:szCs w:val="32"/>
          <w:highlight w:val="none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kern w:val="0"/>
          <w:sz w:val="32"/>
          <w:szCs w:val="32"/>
          <w:highlight w:val="none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根据“第三次全国国土调查工作分类”，本项目现状土地类型主要以耕地（旱地、水浇地等）、种植园用地（果园等）、林地（竹林地等）、草地（其他草地等）、水域（坑塘水面等）为主，其中有部分耕地为永久基本农田，蓝绿交织，原乡底蕴，生态本底条件优越。</w:t>
      </w:r>
    </w:p>
    <w:p w14:paraId="10F0E5A2">
      <w:pPr>
        <w:adjustRightInd w:val="0"/>
        <w:snapToGrid w:val="0"/>
        <w:spacing w:line="560" w:lineRule="exact"/>
        <w:ind w:firstLine="430" w:firstLineChars="205"/>
        <w:rPr>
          <w:rFonts w:ascii="Times New Roman" w:hAnsi="Times New Roman" w:eastAsia="仿宋" w:cs="Times New Roman"/>
          <w:color w:val="000000" w:themeColor="text1"/>
          <w:kern w:val="0"/>
          <w:sz w:val="32"/>
          <w:szCs w:val="32"/>
          <w:highlight w:val="none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highlight w:val="none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1151255</wp:posOffset>
            </wp:positionV>
            <wp:extent cx="5255260" cy="5636895"/>
            <wp:effectExtent l="0" t="0" r="2540" b="1905"/>
            <wp:wrapTopAndBottom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563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" w:cs="Times New Roman"/>
          <w:color w:val="000000" w:themeColor="text1"/>
          <w:kern w:val="0"/>
          <w:sz w:val="32"/>
          <w:szCs w:val="32"/>
          <w:highlight w:val="none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项目建设用地分为</w:t>
      </w:r>
      <w:r>
        <w:rPr>
          <w:rFonts w:ascii="Times New Roman" w:hAnsi="Times New Roman" w:eastAsia="仿宋" w:cs="Times New Roman"/>
          <w:color w:val="000000" w:themeColor="text1"/>
          <w:kern w:val="0"/>
          <w:sz w:val="32"/>
          <w:szCs w:val="32"/>
          <w:highlight w:val="none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Times New Roman" w:hAnsi="Times New Roman" w:eastAsia="仿宋" w:cs="Times New Roman"/>
          <w:color w:val="000000" w:themeColor="text1"/>
          <w:kern w:val="0"/>
          <w:sz w:val="32"/>
          <w:szCs w:val="32"/>
          <w:highlight w:val="none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个地块，农用地大部分已纳入流转范围，场地地形整体北高南低、两侧高中间低，最高点与</w:t>
      </w:r>
      <w:r>
        <w:rPr>
          <w:rFonts w:hint="eastAsia" w:eastAsia="仿宋" w:cs="Times New Roman"/>
          <w:color w:val="000000" w:themeColor="text1"/>
          <w:kern w:val="0"/>
          <w:sz w:val="32"/>
          <w:szCs w:val="32"/>
          <w:highlight w:val="none"/>
          <w:shd w:val="clear" w:color="auto" w:fill="FFFFFF"/>
          <w:lang w:eastAsia="zh-CN" w:bidi="ar"/>
          <w14:textFill>
            <w14:solidFill>
              <w14:schemeClr w14:val="tx1"/>
            </w14:solidFill>
          </w14:textFill>
        </w:rPr>
        <w:t>最低点</w:t>
      </w:r>
      <w:r>
        <w:rPr>
          <w:rFonts w:hint="eastAsia" w:ascii="Times New Roman" w:hAnsi="Times New Roman" w:eastAsia="仿宋" w:cs="Times New Roman"/>
          <w:color w:val="000000" w:themeColor="text1"/>
          <w:kern w:val="0"/>
          <w:sz w:val="32"/>
          <w:szCs w:val="32"/>
          <w:highlight w:val="none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高差约</w:t>
      </w:r>
      <w:r>
        <w:rPr>
          <w:rFonts w:ascii="Times New Roman" w:hAnsi="Times New Roman" w:eastAsia="仿宋" w:cs="Times New Roman"/>
          <w:color w:val="000000" w:themeColor="text1"/>
          <w:kern w:val="0"/>
          <w:sz w:val="32"/>
          <w:szCs w:val="32"/>
          <w:highlight w:val="none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13.12</w:t>
      </w:r>
      <w:r>
        <w:rPr>
          <w:rFonts w:hint="eastAsia" w:ascii="Times New Roman" w:hAnsi="Times New Roman" w:eastAsia="仿宋" w:cs="Times New Roman"/>
          <w:color w:val="000000" w:themeColor="text1"/>
          <w:kern w:val="0"/>
          <w:sz w:val="32"/>
          <w:szCs w:val="32"/>
          <w:highlight w:val="none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米。</w:t>
      </w:r>
    </w:p>
    <w:p w14:paraId="04A62A5B">
      <w:pPr>
        <w:adjustRightInd w:val="0"/>
        <w:snapToGrid w:val="0"/>
        <w:spacing w:line="560" w:lineRule="exact"/>
        <w:ind w:firstLine="640" w:firstLineChars="200"/>
        <w:rPr>
          <w:rFonts w:ascii="Times New Roman" w:hAnsi="Times New Roman" w:eastAsia="仿宋" w:cs="Times New Roman"/>
          <w:color w:val="000000" w:themeColor="text1"/>
          <w:kern w:val="0"/>
          <w:sz w:val="32"/>
          <w:szCs w:val="32"/>
          <w:highlight w:val="none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kern w:val="0"/>
          <w:sz w:val="32"/>
          <w:szCs w:val="32"/>
          <w:highlight w:val="none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建筑高度、建筑间距及退距、坡屋顶建筑檐口等构件的垂直投影、地下（含半地下）建（构）筑物外墙、停车场配置标准及布局等均应符合《成都市城乡融合发展片区建设项目规划管理技术规定及导则（试行）》的规定。</w:t>
      </w:r>
    </w:p>
    <w:p w14:paraId="08623541">
      <w:pPr>
        <w:spacing w:before="166" w:line="218" w:lineRule="auto"/>
        <w:ind w:left="2899"/>
        <w:rPr>
          <w:rFonts w:hint="eastAsia" w:ascii="方正黑体_GBK" w:hAnsi="方正黑体_GBK" w:eastAsia="方正黑体_GBK" w:cs="方正黑体_GBK"/>
          <w:color w:val="000000" w:themeColor="text1"/>
          <w:sz w:val="31"/>
          <w:szCs w:val="31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方正黑体_GBK" w:hAnsi="方正黑体_GBK" w:eastAsia="方正黑体_GBK" w:cs="方正黑体_GBK"/>
          <w:color w:val="000000" w:themeColor="text1"/>
          <w:spacing w:val="8"/>
          <w:sz w:val="31"/>
          <w:szCs w:val="31"/>
          <w:highlight w:val="none"/>
          <w14:textFill>
            <w14:solidFill>
              <w14:schemeClr w14:val="tx1"/>
            </w14:solidFill>
          </w14:textFill>
        </w:rPr>
        <w:t>项目建设用地指标</w:t>
      </w:r>
    </w:p>
    <w:tbl>
      <w:tblPr>
        <w:tblStyle w:val="8"/>
        <w:tblW w:w="7390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24"/>
        <w:gridCol w:w="2131"/>
        <w:gridCol w:w="2132"/>
        <w:gridCol w:w="2003"/>
      </w:tblGrid>
      <w:tr w14:paraId="55D7C1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  <w:jc w:val="center"/>
        </w:trPr>
        <w:tc>
          <w:tcPr>
            <w:tcW w:w="1124" w:type="dxa"/>
            <w:vMerge w:val="restart"/>
            <w:tcBorders>
              <w:bottom w:val="nil"/>
            </w:tcBorders>
            <w:vAlign w:val="center"/>
          </w:tcPr>
          <w:p w14:paraId="3AA1A19B">
            <w:pPr>
              <w:adjustRightInd w:val="0"/>
              <w:snapToGrid w:val="0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color w:val="000000" w:themeColor="text1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方正仿宋_GBK" w:hAnsi="方正仿宋_GBK" w:eastAsia="方正仿宋_GBK" w:cs="方正仿宋_GBK"/>
                <w:b/>
                <w:bCs/>
                <w:color w:val="000000" w:themeColor="text1"/>
                <w:spacing w:val="-9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4263" w:type="dxa"/>
            <w:gridSpan w:val="2"/>
            <w:vAlign w:val="center"/>
          </w:tcPr>
          <w:p w14:paraId="65C18A7A">
            <w:pPr>
              <w:adjustRightInd w:val="0"/>
              <w:snapToGrid w:val="0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color w:val="000000" w:themeColor="text1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方正仿宋_GBK" w:hAnsi="方正仿宋_GBK" w:eastAsia="方正仿宋_GBK" w:cs="方正仿宋_GBK"/>
                <w:b/>
                <w:bCs/>
                <w:color w:val="000000" w:themeColor="text1"/>
                <w:spacing w:val="-5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  <w:t>用地面积</w:t>
            </w:r>
          </w:p>
        </w:tc>
        <w:tc>
          <w:tcPr>
            <w:tcW w:w="2003" w:type="dxa"/>
            <w:vMerge w:val="restart"/>
            <w:tcBorders>
              <w:bottom w:val="nil"/>
            </w:tcBorders>
            <w:vAlign w:val="center"/>
          </w:tcPr>
          <w:p w14:paraId="4CEA5BFC">
            <w:pPr>
              <w:adjustRightInd w:val="0"/>
              <w:snapToGrid w:val="0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color w:val="000000" w:themeColor="text1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方正仿宋_GBK" w:hAnsi="方正仿宋_GBK" w:eastAsia="方正仿宋_GBK" w:cs="方正仿宋_GBK"/>
                <w:b/>
                <w:bCs/>
                <w:color w:val="000000" w:themeColor="text1"/>
                <w:spacing w:val="-6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  <w:t>容积率</w:t>
            </w:r>
          </w:p>
        </w:tc>
      </w:tr>
      <w:tr w14:paraId="7F28B1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  <w:jc w:val="center"/>
        </w:trPr>
        <w:tc>
          <w:tcPr>
            <w:tcW w:w="1124" w:type="dxa"/>
            <w:vMerge w:val="continue"/>
            <w:tcBorders>
              <w:top w:val="nil"/>
            </w:tcBorders>
            <w:vAlign w:val="center"/>
          </w:tcPr>
          <w:p w14:paraId="5124DF4C">
            <w:pPr>
              <w:adjustRightInd w:val="0"/>
              <w:snapToGrid w:val="0"/>
              <w:jc w:val="center"/>
              <w:rPr>
                <w:rFonts w:ascii="Arial"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31" w:type="dxa"/>
            <w:vAlign w:val="center"/>
          </w:tcPr>
          <w:p w14:paraId="0E9738E2">
            <w:pPr>
              <w:adjustRightInd w:val="0"/>
              <w:snapToGrid w:val="0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color w:val="000000" w:themeColor="text1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方正仿宋_GBK" w:hAnsi="方正仿宋_GBK" w:eastAsia="方正仿宋_GBK" w:cs="方正仿宋_GBK"/>
                <w:b/>
                <w:bCs/>
                <w:color w:val="000000" w:themeColor="text1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  <w:t>亩</w:t>
            </w:r>
          </w:p>
        </w:tc>
        <w:tc>
          <w:tcPr>
            <w:tcW w:w="2132" w:type="dxa"/>
            <w:vAlign w:val="center"/>
          </w:tcPr>
          <w:p w14:paraId="5A6DFA83">
            <w:pPr>
              <w:adjustRightInd w:val="0"/>
              <w:snapToGrid w:val="0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color w:val="000000" w:themeColor="text1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方正仿宋_GBK" w:hAnsi="方正仿宋_GBK" w:eastAsia="方正仿宋_GBK" w:cs="方正仿宋_GBK"/>
                <w:b/>
                <w:bCs/>
                <w:color w:val="000000" w:themeColor="text1"/>
                <w:spacing w:val="-5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  <w:t>平方米</w:t>
            </w:r>
          </w:p>
        </w:tc>
        <w:tc>
          <w:tcPr>
            <w:tcW w:w="2003" w:type="dxa"/>
            <w:vMerge w:val="continue"/>
            <w:tcBorders>
              <w:top w:val="nil"/>
            </w:tcBorders>
            <w:vAlign w:val="center"/>
          </w:tcPr>
          <w:p w14:paraId="48304736">
            <w:pPr>
              <w:adjustRightInd w:val="0"/>
              <w:snapToGrid w:val="0"/>
              <w:jc w:val="center"/>
              <w:rPr>
                <w:rFonts w:ascii="Arial"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8784B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  <w:jc w:val="center"/>
        </w:trPr>
        <w:tc>
          <w:tcPr>
            <w:tcW w:w="1124" w:type="dxa"/>
            <w:vAlign w:val="center"/>
          </w:tcPr>
          <w:p w14:paraId="57293951">
            <w:pPr>
              <w:pStyle w:val="9"/>
              <w:adjustRightInd w:val="0"/>
              <w:snapToGrid w:val="0"/>
              <w:jc w:val="center"/>
              <w:rPr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131" w:type="dxa"/>
            <w:vAlign w:val="center"/>
          </w:tcPr>
          <w:p w14:paraId="6388AE11">
            <w:pPr>
              <w:pStyle w:val="9"/>
              <w:adjustRightInd w:val="0"/>
              <w:snapToGrid w:val="0"/>
              <w:jc w:val="center"/>
              <w:rPr>
                <w:rFonts w:eastAsia="宋体"/>
                <w:color w:val="000000" w:themeColor="text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pacing w:val="-3"/>
                <w:highlight w:val="none"/>
                <w14:textFill>
                  <w14:solidFill>
                    <w14:schemeClr w14:val="tx1"/>
                  </w14:solidFill>
                </w14:textFill>
              </w:rPr>
              <w:t>8.8</w:t>
            </w:r>
            <w:r>
              <w:rPr>
                <w:rFonts w:hint="eastAsia" w:eastAsia="宋体"/>
                <w:color w:val="000000" w:themeColor="text1"/>
                <w:spacing w:val="-3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2132" w:type="dxa"/>
            <w:vAlign w:val="center"/>
          </w:tcPr>
          <w:p w14:paraId="0D8AB39F">
            <w:pPr>
              <w:pStyle w:val="9"/>
              <w:adjustRightInd w:val="0"/>
              <w:snapToGrid w:val="0"/>
              <w:jc w:val="center"/>
              <w:rPr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pacing w:val="-2"/>
                <w:highlight w:val="none"/>
                <w14:textFill>
                  <w14:solidFill>
                    <w14:schemeClr w14:val="tx1"/>
                  </w14:solidFill>
                </w14:textFill>
              </w:rPr>
              <w:t>5910.53</w:t>
            </w:r>
          </w:p>
        </w:tc>
        <w:tc>
          <w:tcPr>
            <w:tcW w:w="2003" w:type="dxa"/>
            <w:vAlign w:val="center"/>
          </w:tcPr>
          <w:p w14:paraId="1D198E64">
            <w:pPr>
              <w:pStyle w:val="9"/>
              <w:adjustRightInd w:val="0"/>
              <w:snapToGrid w:val="0"/>
              <w:jc w:val="center"/>
              <w:rPr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pacing w:val="-8"/>
                <w:highlight w:val="none"/>
                <w14:textFill>
                  <w14:solidFill>
                    <w14:schemeClr w14:val="tx1"/>
                  </w14:solidFill>
                </w14:textFill>
              </w:rPr>
              <w:t>1.50</w:t>
            </w:r>
          </w:p>
        </w:tc>
      </w:tr>
      <w:tr w14:paraId="42100C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  <w:jc w:val="center"/>
        </w:trPr>
        <w:tc>
          <w:tcPr>
            <w:tcW w:w="1124" w:type="dxa"/>
            <w:vAlign w:val="center"/>
          </w:tcPr>
          <w:p w14:paraId="39F8178D">
            <w:pPr>
              <w:pStyle w:val="9"/>
              <w:adjustRightInd w:val="0"/>
              <w:snapToGrid w:val="0"/>
              <w:jc w:val="center"/>
              <w:rPr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131" w:type="dxa"/>
            <w:vAlign w:val="center"/>
          </w:tcPr>
          <w:p w14:paraId="7DAC4B45">
            <w:pPr>
              <w:pStyle w:val="9"/>
              <w:adjustRightInd w:val="0"/>
              <w:snapToGrid w:val="0"/>
              <w:jc w:val="center"/>
              <w:rPr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pacing w:val="-3"/>
                <w:highlight w:val="none"/>
                <w14:textFill>
                  <w14:solidFill>
                    <w14:schemeClr w14:val="tx1"/>
                  </w14:solidFill>
                </w14:textFill>
              </w:rPr>
              <w:t>8.32</w:t>
            </w:r>
          </w:p>
        </w:tc>
        <w:tc>
          <w:tcPr>
            <w:tcW w:w="2132" w:type="dxa"/>
            <w:vAlign w:val="center"/>
          </w:tcPr>
          <w:p w14:paraId="55D0881B">
            <w:pPr>
              <w:pStyle w:val="9"/>
              <w:adjustRightInd w:val="0"/>
              <w:snapToGrid w:val="0"/>
              <w:jc w:val="center"/>
              <w:rPr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pacing w:val="-2"/>
                <w:highlight w:val="none"/>
                <w14:textFill>
                  <w14:solidFill>
                    <w14:schemeClr w14:val="tx1"/>
                  </w14:solidFill>
                </w14:textFill>
              </w:rPr>
              <w:t>5549.11</w:t>
            </w:r>
          </w:p>
        </w:tc>
        <w:tc>
          <w:tcPr>
            <w:tcW w:w="2003" w:type="dxa"/>
            <w:vAlign w:val="center"/>
          </w:tcPr>
          <w:p w14:paraId="3C025F55">
            <w:pPr>
              <w:pStyle w:val="9"/>
              <w:adjustRightInd w:val="0"/>
              <w:snapToGrid w:val="0"/>
              <w:jc w:val="center"/>
              <w:rPr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pacing w:val="-8"/>
                <w:highlight w:val="none"/>
                <w14:textFill>
                  <w14:solidFill>
                    <w14:schemeClr w14:val="tx1"/>
                  </w14:solidFill>
                </w14:textFill>
              </w:rPr>
              <w:t>1.50</w:t>
            </w:r>
          </w:p>
        </w:tc>
      </w:tr>
      <w:tr w14:paraId="7D82A1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  <w:jc w:val="center"/>
        </w:trPr>
        <w:tc>
          <w:tcPr>
            <w:tcW w:w="1124" w:type="dxa"/>
            <w:vAlign w:val="center"/>
          </w:tcPr>
          <w:p w14:paraId="7CBAB067">
            <w:pPr>
              <w:pStyle w:val="9"/>
              <w:adjustRightInd w:val="0"/>
              <w:snapToGrid w:val="0"/>
              <w:jc w:val="center"/>
              <w:rPr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131" w:type="dxa"/>
            <w:vAlign w:val="center"/>
          </w:tcPr>
          <w:p w14:paraId="210E5FB3">
            <w:pPr>
              <w:pStyle w:val="9"/>
              <w:adjustRightInd w:val="0"/>
              <w:snapToGrid w:val="0"/>
              <w:jc w:val="center"/>
              <w:rPr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pacing w:val="-2"/>
                <w:highlight w:val="none"/>
                <w14:textFill>
                  <w14:solidFill>
                    <w14:schemeClr w14:val="tx1"/>
                  </w14:solidFill>
                </w14:textFill>
              </w:rPr>
              <w:t>9.01</w:t>
            </w:r>
          </w:p>
        </w:tc>
        <w:tc>
          <w:tcPr>
            <w:tcW w:w="2132" w:type="dxa"/>
            <w:vAlign w:val="center"/>
          </w:tcPr>
          <w:p w14:paraId="3F7A084E">
            <w:pPr>
              <w:pStyle w:val="9"/>
              <w:adjustRightInd w:val="0"/>
              <w:snapToGrid w:val="0"/>
              <w:jc w:val="center"/>
              <w:rPr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pacing w:val="-2"/>
                <w:highlight w:val="none"/>
                <w14:textFill>
                  <w14:solidFill>
                    <w14:schemeClr w14:val="tx1"/>
                  </w14:solidFill>
                </w14:textFill>
              </w:rPr>
              <w:t>6007.68</w:t>
            </w:r>
          </w:p>
        </w:tc>
        <w:tc>
          <w:tcPr>
            <w:tcW w:w="2003" w:type="dxa"/>
            <w:vAlign w:val="center"/>
          </w:tcPr>
          <w:p w14:paraId="479D6D9B">
            <w:pPr>
              <w:pStyle w:val="9"/>
              <w:adjustRightInd w:val="0"/>
              <w:snapToGrid w:val="0"/>
              <w:jc w:val="center"/>
              <w:rPr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pacing w:val="-8"/>
                <w:highlight w:val="none"/>
                <w14:textFill>
                  <w14:solidFill>
                    <w14:schemeClr w14:val="tx1"/>
                  </w14:solidFill>
                </w14:textFill>
              </w:rPr>
              <w:t>1.80</w:t>
            </w:r>
          </w:p>
        </w:tc>
      </w:tr>
      <w:tr w14:paraId="7066F5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  <w:jc w:val="center"/>
        </w:trPr>
        <w:tc>
          <w:tcPr>
            <w:tcW w:w="1124" w:type="dxa"/>
            <w:vAlign w:val="center"/>
          </w:tcPr>
          <w:p w14:paraId="178A2FE1">
            <w:pPr>
              <w:pStyle w:val="9"/>
              <w:adjustRightInd w:val="0"/>
              <w:snapToGrid w:val="0"/>
              <w:jc w:val="center"/>
              <w:rPr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131" w:type="dxa"/>
            <w:vAlign w:val="center"/>
          </w:tcPr>
          <w:p w14:paraId="2B5B821D">
            <w:pPr>
              <w:pStyle w:val="9"/>
              <w:adjustRightInd w:val="0"/>
              <w:snapToGrid w:val="0"/>
              <w:jc w:val="center"/>
              <w:rPr>
                <w:rFonts w:eastAsia="宋体"/>
                <w:color w:val="000000" w:themeColor="text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pacing w:val="-1"/>
                <w:highlight w:val="none"/>
                <w14:textFill>
                  <w14:solidFill>
                    <w14:schemeClr w14:val="tx1"/>
                  </w14:solidFill>
                </w14:textFill>
              </w:rPr>
              <w:t>4.2</w:t>
            </w:r>
            <w:r>
              <w:rPr>
                <w:rFonts w:hint="eastAsia" w:eastAsia="宋体"/>
                <w:color w:val="000000" w:themeColor="text1"/>
                <w:spacing w:val="-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132" w:type="dxa"/>
            <w:vAlign w:val="center"/>
          </w:tcPr>
          <w:p w14:paraId="709B4EED">
            <w:pPr>
              <w:pStyle w:val="9"/>
              <w:adjustRightInd w:val="0"/>
              <w:snapToGrid w:val="0"/>
              <w:jc w:val="center"/>
              <w:rPr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pacing w:val="-1"/>
                <w:highlight w:val="none"/>
                <w14:textFill>
                  <w14:solidFill>
                    <w14:schemeClr w14:val="tx1"/>
                  </w14:solidFill>
                </w14:textFill>
              </w:rPr>
              <w:t>2836.92</w:t>
            </w:r>
          </w:p>
        </w:tc>
        <w:tc>
          <w:tcPr>
            <w:tcW w:w="2003" w:type="dxa"/>
            <w:vAlign w:val="center"/>
          </w:tcPr>
          <w:p w14:paraId="112FC360">
            <w:pPr>
              <w:pStyle w:val="9"/>
              <w:adjustRightInd w:val="0"/>
              <w:snapToGrid w:val="0"/>
              <w:jc w:val="center"/>
              <w:rPr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pacing w:val="-8"/>
                <w:highlight w:val="none"/>
                <w14:textFill>
                  <w14:solidFill>
                    <w14:schemeClr w14:val="tx1"/>
                  </w14:solidFill>
                </w14:textFill>
              </w:rPr>
              <w:t>1.50</w:t>
            </w:r>
          </w:p>
        </w:tc>
      </w:tr>
      <w:tr w14:paraId="2A777D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  <w:jc w:val="center"/>
        </w:trPr>
        <w:tc>
          <w:tcPr>
            <w:tcW w:w="1124" w:type="dxa"/>
            <w:vAlign w:val="center"/>
          </w:tcPr>
          <w:p w14:paraId="38DD19A9">
            <w:pPr>
              <w:pStyle w:val="9"/>
              <w:adjustRightInd w:val="0"/>
              <w:snapToGrid w:val="0"/>
              <w:jc w:val="center"/>
              <w:rPr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2131" w:type="dxa"/>
            <w:vAlign w:val="center"/>
          </w:tcPr>
          <w:p w14:paraId="152E32F3">
            <w:pPr>
              <w:pStyle w:val="9"/>
              <w:adjustRightInd w:val="0"/>
              <w:snapToGrid w:val="0"/>
              <w:jc w:val="center"/>
              <w:rPr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pacing w:val="-2"/>
                <w:highlight w:val="none"/>
                <w14:textFill>
                  <w14:solidFill>
                    <w14:schemeClr w14:val="tx1"/>
                  </w14:solidFill>
                </w14:textFill>
              </w:rPr>
              <w:t>7.78</w:t>
            </w:r>
          </w:p>
        </w:tc>
        <w:tc>
          <w:tcPr>
            <w:tcW w:w="2132" w:type="dxa"/>
            <w:vAlign w:val="center"/>
          </w:tcPr>
          <w:p w14:paraId="286563DA">
            <w:pPr>
              <w:pStyle w:val="9"/>
              <w:adjustRightInd w:val="0"/>
              <w:snapToGrid w:val="0"/>
              <w:jc w:val="center"/>
              <w:rPr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pacing w:val="-2"/>
                <w:highlight w:val="none"/>
                <w14:textFill>
                  <w14:solidFill>
                    <w14:schemeClr w14:val="tx1"/>
                  </w14:solidFill>
                </w14:textFill>
              </w:rPr>
              <w:t>5188.71</w:t>
            </w:r>
          </w:p>
        </w:tc>
        <w:tc>
          <w:tcPr>
            <w:tcW w:w="2003" w:type="dxa"/>
            <w:vAlign w:val="center"/>
          </w:tcPr>
          <w:p w14:paraId="54B47849">
            <w:pPr>
              <w:pStyle w:val="9"/>
              <w:adjustRightInd w:val="0"/>
              <w:snapToGrid w:val="0"/>
              <w:jc w:val="center"/>
              <w:rPr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pacing w:val="-8"/>
                <w:highlight w:val="none"/>
                <w14:textFill>
                  <w14:solidFill>
                    <w14:schemeClr w14:val="tx1"/>
                  </w14:solidFill>
                </w14:textFill>
              </w:rPr>
              <w:t>1.50</w:t>
            </w:r>
          </w:p>
        </w:tc>
      </w:tr>
      <w:tr w14:paraId="28D9F8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  <w:jc w:val="center"/>
        </w:trPr>
        <w:tc>
          <w:tcPr>
            <w:tcW w:w="1124" w:type="dxa"/>
            <w:vAlign w:val="center"/>
          </w:tcPr>
          <w:p w14:paraId="4512E668">
            <w:pPr>
              <w:pStyle w:val="9"/>
              <w:adjustRightInd w:val="0"/>
              <w:snapToGrid w:val="0"/>
              <w:jc w:val="center"/>
              <w:rPr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131" w:type="dxa"/>
            <w:vAlign w:val="center"/>
          </w:tcPr>
          <w:p w14:paraId="011E05A4">
            <w:pPr>
              <w:pStyle w:val="9"/>
              <w:adjustRightInd w:val="0"/>
              <w:snapToGrid w:val="0"/>
              <w:jc w:val="center"/>
              <w:rPr>
                <w:rFonts w:eastAsia="宋体"/>
                <w:color w:val="000000" w:themeColor="text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pacing w:val="-3"/>
                <w:highlight w:val="none"/>
                <w14:textFill>
                  <w14:solidFill>
                    <w14:schemeClr w14:val="tx1"/>
                  </w14:solidFill>
                </w14:textFill>
              </w:rPr>
              <w:t>8.9</w:t>
            </w:r>
            <w:r>
              <w:rPr>
                <w:rFonts w:hint="eastAsia" w:eastAsia="宋体"/>
                <w:color w:val="000000" w:themeColor="text1"/>
                <w:spacing w:val="-3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2132" w:type="dxa"/>
            <w:vAlign w:val="center"/>
          </w:tcPr>
          <w:p w14:paraId="77CB2098">
            <w:pPr>
              <w:pStyle w:val="9"/>
              <w:adjustRightInd w:val="0"/>
              <w:snapToGrid w:val="0"/>
              <w:jc w:val="center"/>
              <w:rPr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pacing w:val="-2"/>
                <w:highlight w:val="none"/>
                <w14:textFill>
                  <w14:solidFill>
                    <w14:schemeClr w14:val="tx1"/>
                  </w14:solidFill>
                </w14:textFill>
              </w:rPr>
              <w:t>5984.09</w:t>
            </w:r>
          </w:p>
        </w:tc>
        <w:tc>
          <w:tcPr>
            <w:tcW w:w="2003" w:type="dxa"/>
            <w:vAlign w:val="center"/>
          </w:tcPr>
          <w:p w14:paraId="46AE5404">
            <w:pPr>
              <w:pStyle w:val="9"/>
              <w:adjustRightInd w:val="0"/>
              <w:snapToGrid w:val="0"/>
              <w:jc w:val="center"/>
              <w:rPr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pacing w:val="-8"/>
                <w:highlight w:val="none"/>
                <w14:textFill>
                  <w14:solidFill>
                    <w14:schemeClr w14:val="tx1"/>
                  </w14:solidFill>
                </w14:textFill>
              </w:rPr>
              <w:t>1.80</w:t>
            </w:r>
          </w:p>
        </w:tc>
      </w:tr>
      <w:tr w14:paraId="1984B9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  <w:jc w:val="center"/>
        </w:trPr>
        <w:tc>
          <w:tcPr>
            <w:tcW w:w="1124" w:type="dxa"/>
            <w:vAlign w:val="center"/>
          </w:tcPr>
          <w:p w14:paraId="4D300713">
            <w:pPr>
              <w:pStyle w:val="9"/>
              <w:adjustRightInd w:val="0"/>
              <w:snapToGrid w:val="0"/>
              <w:jc w:val="center"/>
              <w:rPr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2131" w:type="dxa"/>
            <w:vAlign w:val="center"/>
          </w:tcPr>
          <w:p w14:paraId="468C2F5B">
            <w:pPr>
              <w:pStyle w:val="9"/>
              <w:adjustRightInd w:val="0"/>
              <w:snapToGrid w:val="0"/>
              <w:jc w:val="center"/>
              <w:rPr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pacing w:val="-3"/>
                <w:highlight w:val="none"/>
                <w14:textFill>
                  <w14:solidFill>
                    <w14:schemeClr w14:val="tx1"/>
                  </w14:solidFill>
                </w14:textFill>
              </w:rPr>
              <w:t>8.24</w:t>
            </w:r>
          </w:p>
        </w:tc>
        <w:tc>
          <w:tcPr>
            <w:tcW w:w="2132" w:type="dxa"/>
            <w:vAlign w:val="center"/>
          </w:tcPr>
          <w:p w14:paraId="0B018C88">
            <w:pPr>
              <w:pStyle w:val="9"/>
              <w:adjustRightInd w:val="0"/>
              <w:snapToGrid w:val="0"/>
              <w:jc w:val="center"/>
              <w:rPr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pacing w:val="-2"/>
                <w:highlight w:val="none"/>
                <w14:textFill>
                  <w14:solidFill>
                    <w14:schemeClr w14:val="tx1"/>
                  </w14:solidFill>
                </w14:textFill>
              </w:rPr>
              <w:t>5494.26</w:t>
            </w:r>
          </w:p>
        </w:tc>
        <w:tc>
          <w:tcPr>
            <w:tcW w:w="2003" w:type="dxa"/>
            <w:vAlign w:val="center"/>
          </w:tcPr>
          <w:p w14:paraId="5578E20C">
            <w:pPr>
              <w:pStyle w:val="9"/>
              <w:adjustRightInd w:val="0"/>
              <w:snapToGrid w:val="0"/>
              <w:jc w:val="center"/>
              <w:rPr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pacing w:val="-8"/>
                <w:highlight w:val="none"/>
                <w14:textFill>
                  <w14:solidFill>
                    <w14:schemeClr w14:val="tx1"/>
                  </w14:solidFill>
                </w14:textFill>
              </w:rPr>
              <w:t>1.80</w:t>
            </w:r>
          </w:p>
        </w:tc>
      </w:tr>
      <w:tr w14:paraId="53B78F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" w:hRule="atLeast"/>
          <w:jc w:val="center"/>
        </w:trPr>
        <w:tc>
          <w:tcPr>
            <w:tcW w:w="1124" w:type="dxa"/>
            <w:vAlign w:val="center"/>
          </w:tcPr>
          <w:p w14:paraId="13C8A1F9">
            <w:pPr>
              <w:adjustRightInd w:val="0"/>
              <w:snapToGrid w:val="0"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方正仿宋_GBK" w:hAnsi="方正仿宋_GBK" w:eastAsia="方正仿宋_GBK" w:cs="方正仿宋_GBK"/>
                <w:b/>
                <w:bCs/>
                <w:color w:val="000000" w:themeColor="text1"/>
                <w:spacing w:val="-11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  <w:t>合计</w:t>
            </w:r>
          </w:p>
        </w:tc>
        <w:tc>
          <w:tcPr>
            <w:tcW w:w="2131" w:type="dxa"/>
            <w:vAlign w:val="center"/>
          </w:tcPr>
          <w:p w14:paraId="12FA77DF">
            <w:pPr>
              <w:pStyle w:val="9"/>
              <w:adjustRightInd w:val="0"/>
              <w:snapToGrid w:val="0"/>
              <w:jc w:val="center"/>
              <w:rPr>
                <w:rFonts w:eastAsia="宋体"/>
                <w:color w:val="000000" w:themeColor="text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bCs/>
                <w:color w:val="000000" w:themeColor="text1"/>
                <w:spacing w:val="-2"/>
                <w:highlight w:val="none"/>
                <w14:textFill>
                  <w14:solidFill>
                    <w14:schemeClr w14:val="tx1"/>
                  </w14:solidFill>
                </w14:textFill>
              </w:rPr>
              <w:t>55.4</w:t>
            </w:r>
            <w:r>
              <w:rPr>
                <w:rFonts w:hint="eastAsia" w:eastAsia="宋体"/>
                <w:b/>
                <w:bCs/>
                <w:color w:val="000000" w:themeColor="text1"/>
                <w:spacing w:val="-2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132" w:type="dxa"/>
            <w:vAlign w:val="center"/>
          </w:tcPr>
          <w:p w14:paraId="2DD55225">
            <w:pPr>
              <w:pStyle w:val="9"/>
              <w:adjustRightInd w:val="0"/>
              <w:snapToGrid w:val="0"/>
              <w:jc w:val="center"/>
              <w:rPr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bCs/>
                <w:color w:val="000000" w:themeColor="text1"/>
                <w:spacing w:val="-1"/>
                <w:highlight w:val="none"/>
                <w14:textFill>
                  <w14:solidFill>
                    <w14:schemeClr w14:val="tx1"/>
                  </w14:solidFill>
                </w14:textFill>
              </w:rPr>
              <w:t>36971.30</w:t>
            </w:r>
          </w:p>
        </w:tc>
        <w:tc>
          <w:tcPr>
            <w:tcW w:w="2003" w:type="dxa"/>
            <w:vAlign w:val="center"/>
          </w:tcPr>
          <w:p w14:paraId="6BBD2EC1">
            <w:pPr>
              <w:adjustRightInd w:val="0"/>
              <w:snapToGrid w:val="0"/>
              <w:jc w:val="center"/>
              <w:rPr>
                <w:rFonts w:ascii="Arial"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34D6A2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jc w:val="center"/>
        <w:textAlignment w:val="auto"/>
        <w:rPr>
          <w:rFonts w:hint="eastAsia" w:ascii="宋体" w:hAnsi="宋体" w:eastAsia="宋体" w:cs="宋体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</w:p>
    <w:p w14:paraId="36F9A9B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br w:type="page"/>
      </w:r>
    </w:p>
    <w:p w14:paraId="655C16A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0" w:firstLineChars="0"/>
        <w:textAlignment w:val="auto"/>
        <w:rPr>
          <w:rFonts w:hint="eastAsia" w:ascii="黑体" w:hAnsi="黑体" w:eastAsia="黑体" w:cs="黑体"/>
          <w:color w:val="000000" w:themeColor="text1"/>
          <w:spacing w:val="-3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pacing w:val="-3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附件2</w:t>
      </w:r>
    </w:p>
    <w:p w14:paraId="0391EFD0">
      <w:pPr>
        <w:spacing w:beforeLines="0" w:afterLines="0" w:line="48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_______项目报名表</w:t>
      </w:r>
    </w:p>
    <w:p w14:paraId="07378B74">
      <w:pPr>
        <w:spacing w:beforeLines="0" w:afterLines="0" w:line="48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 w14:paraId="5C22FF9E">
      <w:pPr>
        <w:spacing w:beforeLines="0" w:afterLines="0" w:line="480" w:lineRule="exact"/>
        <w:jc w:val="center"/>
        <w:rPr>
          <w:rFonts w:hint="default" w:ascii="方正小标宋简体" w:hAnsi="方正小标宋简体" w:eastAsia="方正小标宋简体" w:cs="方正小标宋简体"/>
          <w:b w:val="0"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99"/>
        <w:gridCol w:w="5900"/>
      </w:tblGrid>
      <w:tr w14:paraId="324EED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2" w:hRule="atLeast"/>
        </w:trPr>
        <w:tc>
          <w:tcPr>
            <w:tcW w:w="2299" w:type="dxa"/>
            <w:vAlign w:val="center"/>
          </w:tcPr>
          <w:p w14:paraId="6FC76D20">
            <w:pPr>
              <w:jc w:val="center"/>
              <w:rPr>
                <w:rFonts w:hint="eastAsia" w:ascii="宋体" w:hAnsi="宋体" w:eastAsia="宋体" w:cs="宋体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  <w:vertAlign w:val="baseline"/>
                <w:lang w:val="en-US" w:eastAsia="zh-CN"/>
              </w:rPr>
              <w:t>采购项目</w:t>
            </w:r>
          </w:p>
        </w:tc>
        <w:tc>
          <w:tcPr>
            <w:tcW w:w="5900" w:type="dxa"/>
            <w:vAlign w:val="center"/>
          </w:tcPr>
          <w:p w14:paraId="6327B1BD">
            <w:pPr>
              <w:jc w:val="center"/>
              <w:rPr>
                <w:rFonts w:hint="eastAsia" w:ascii="宋体" w:hAnsi="宋体" w:eastAsia="宋体" w:cs="宋体"/>
                <w:sz w:val="30"/>
                <w:szCs w:val="30"/>
                <w:vertAlign w:val="baseline"/>
              </w:rPr>
            </w:pPr>
          </w:p>
        </w:tc>
      </w:tr>
      <w:tr w14:paraId="22CAE7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5" w:hRule="atLeast"/>
        </w:trPr>
        <w:tc>
          <w:tcPr>
            <w:tcW w:w="2299" w:type="dxa"/>
            <w:vAlign w:val="center"/>
          </w:tcPr>
          <w:p w14:paraId="77193170">
            <w:pPr>
              <w:jc w:val="center"/>
              <w:rPr>
                <w:rFonts w:hint="eastAsia" w:ascii="宋体" w:hAnsi="宋体" w:eastAsia="宋体" w:cs="宋体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  <w:vertAlign w:val="baseline"/>
                <w:lang w:val="en-US" w:eastAsia="zh-CN"/>
              </w:rPr>
              <w:t>供应商名称</w:t>
            </w:r>
          </w:p>
          <w:p w14:paraId="292E6631">
            <w:pPr>
              <w:jc w:val="center"/>
              <w:rPr>
                <w:rFonts w:hint="eastAsia" w:ascii="宋体" w:hAnsi="宋体" w:eastAsia="宋体" w:cs="宋体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  <w:vertAlign w:val="baseline"/>
                <w:lang w:val="en-US" w:eastAsia="zh-CN"/>
              </w:rPr>
              <w:t>（加盖公章）</w:t>
            </w:r>
          </w:p>
        </w:tc>
        <w:tc>
          <w:tcPr>
            <w:tcW w:w="5900" w:type="dxa"/>
            <w:vAlign w:val="center"/>
          </w:tcPr>
          <w:p w14:paraId="2EF30D8F">
            <w:pPr>
              <w:jc w:val="center"/>
              <w:rPr>
                <w:rFonts w:hint="eastAsia" w:ascii="宋体" w:hAnsi="宋体" w:eastAsia="宋体" w:cs="宋体"/>
                <w:sz w:val="30"/>
                <w:szCs w:val="30"/>
                <w:vertAlign w:val="baseline"/>
              </w:rPr>
            </w:pPr>
          </w:p>
        </w:tc>
      </w:tr>
      <w:tr w14:paraId="2B79C0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2" w:hRule="atLeast"/>
        </w:trPr>
        <w:tc>
          <w:tcPr>
            <w:tcW w:w="2299" w:type="dxa"/>
            <w:vAlign w:val="center"/>
          </w:tcPr>
          <w:p w14:paraId="3CEEA30C">
            <w:pPr>
              <w:jc w:val="center"/>
              <w:rPr>
                <w:rFonts w:hint="eastAsia" w:ascii="宋体" w:hAnsi="宋体" w:eastAsia="宋体" w:cs="宋体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0"/>
                <w:szCs w:val="30"/>
                <w:vertAlign w:val="baseline"/>
                <w:lang w:val="en-US" w:eastAsia="zh-CN"/>
              </w:rPr>
              <w:t>统一社会信用代码</w:t>
            </w:r>
          </w:p>
        </w:tc>
        <w:tc>
          <w:tcPr>
            <w:tcW w:w="5900" w:type="dxa"/>
            <w:vAlign w:val="center"/>
          </w:tcPr>
          <w:p w14:paraId="5C66803A">
            <w:pPr>
              <w:jc w:val="center"/>
              <w:rPr>
                <w:rFonts w:hint="eastAsia" w:ascii="宋体" w:hAnsi="宋体" w:eastAsia="宋体" w:cs="宋体"/>
                <w:sz w:val="30"/>
                <w:szCs w:val="30"/>
                <w:vertAlign w:val="baseline"/>
              </w:rPr>
            </w:pPr>
          </w:p>
        </w:tc>
      </w:tr>
      <w:tr w14:paraId="70D11F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2" w:hRule="atLeast"/>
        </w:trPr>
        <w:tc>
          <w:tcPr>
            <w:tcW w:w="2299" w:type="dxa"/>
            <w:vAlign w:val="center"/>
          </w:tcPr>
          <w:p w14:paraId="31F4AC96">
            <w:pPr>
              <w:jc w:val="center"/>
              <w:rPr>
                <w:rFonts w:hint="eastAsia" w:ascii="宋体" w:hAnsi="宋体" w:eastAsia="宋体" w:cs="宋体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  <w:vertAlign w:val="baseline"/>
                <w:lang w:val="en-US" w:eastAsia="zh-CN"/>
              </w:rPr>
              <w:t>单位地址</w:t>
            </w:r>
          </w:p>
        </w:tc>
        <w:tc>
          <w:tcPr>
            <w:tcW w:w="5900" w:type="dxa"/>
            <w:vAlign w:val="center"/>
          </w:tcPr>
          <w:p w14:paraId="295CCED3">
            <w:pPr>
              <w:jc w:val="center"/>
              <w:rPr>
                <w:rFonts w:hint="eastAsia" w:ascii="宋体" w:hAnsi="宋体" w:eastAsia="宋体" w:cs="宋体"/>
                <w:sz w:val="30"/>
                <w:szCs w:val="30"/>
                <w:vertAlign w:val="baseline"/>
              </w:rPr>
            </w:pPr>
          </w:p>
        </w:tc>
      </w:tr>
      <w:tr w14:paraId="15E972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2" w:hRule="atLeast"/>
        </w:trPr>
        <w:tc>
          <w:tcPr>
            <w:tcW w:w="2299" w:type="dxa"/>
            <w:vAlign w:val="center"/>
          </w:tcPr>
          <w:p w14:paraId="3D5B9029">
            <w:pPr>
              <w:jc w:val="center"/>
              <w:rPr>
                <w:rFonts w:hint="eastAsia" w:ascii="宋体" w:hAnsi="宋体" w:eastAsia="宋体" w:cs="宋体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  <w:vertAlign w:val="baseline"/>
                <w:lang w:val="en-US" w:eastAsia="zh-CN"/>
              </w:rPr>
              <w:t>注册资金</w:t>
            </w:r>
          </w:p>
        </w:tc>
        <w:tc>
          <w:tcPr>
            <w:tcW w:w="5900" w:type="dxa"/>
            <w:vAlign w:val="center"/>
          </w:tcPr>
          <w:p w14:paraId="71EE6DDF">
            <w:pPr>
              <w:jc w:val="center"/>
              <w:rPr>
                <w:rFonts w:hint="eastAsia" w:ascii="宋体" w:hAnsi="宋体" w:eastAsia="宋体" w:cs="宋体"/>
                <w:sz w:val="30"/>
                <w:szCs w:val="30"/>
                <w:vertAlign w:val="baseline"/>
              </w:rPr>
            </w:pPr>
          </w:p>
        </w:tc>
      </w:tr>
      <w:tr w14:paraId="6CF534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2" w:hRule="atLeast"/>
        </w:trPr>
        <w:tc>
          <w:tcPr>
            <w:tcW w:w="2299" w:type="dxa"/>
            <w:vAlign w:val="center"/>
          </w:tcPr>
          <w:p w14:paraId="03B952D8">
            <w:pPr>
              <w:jc w:val="center"/>
              <w:rPr>
                <w:rFonts w:hint="eastAsia" w:ascii="宋体" w:hAnsi="宋体" w:eastAsia="宋体" w:cs="宋体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  <w:vertAlign w:val="baseline"/>
                <w:lang w:val="en-US" w:eastAsia="zh-CN"/>
              </w:rPr>
              <w:t>法定代表人</w:t>
            </w:r>
          </w:p>
        </w:tc>
        <w:tc>
          <w:tcPr>
            <w:tcW w:w="5900" w:type="dxa"/>
            <w:vAlign w:val="center"/>
          </w:tcPr>
          <w:p w14:paraId="77EBBB61">
            <w:pPr>
              <w:jc w:val="center"/>
              <w:rPr>
                <w:rFonts w:hint="eastAsia" w:ascii="宋体" w:hAnsi="宋体" w:eastAsia="宋体" w:cs="宋体"/>
                <w:sz w:val="30"/>
                <w:szCs w:val="30"/>
                <w:vertAlign w:val="baseline"/>
              </w:rPr>
            </w:pPr>
          </w:p>
        </w:tc>
      </w:tr>
      <w:tr w14:paraId="517ADF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2" w:hRule="atLeast"/>
        </w:trPr>
        <w:tc>
          <w:tcPr>
            <w:tcW w:w="2299" w:type="dxa"/>
            <w:vAlign w:val="center"/>
          </w:tcPr>
          <w:p w14:paraId="37A0DE37">
            <w:pPr>
              <w:jc w:val="center"/>
              <w:rPr>
                <w:rFonts w:hint="default" w:ascii="宋体" w:hAnsi="宋体" w:eastAsia="宋体" w:cs="宋体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  <w:vertAlign w:val="baseline"/>
                <w:lang w:val="en-US" w:eastAsia="zh-CN"/>
              </w:rPr>
              <w:t>被委托人</w:t>
            </w:r>
          </w:p>
        </w:tc>
        <w:tc>
          <w:tcPr>
            <w:tcW w:w="5900" w:type="dxa"/>
            <w:vAlign w:val="center"/>
          </w:tcPr>
          <w:p w14:paraId="63DC085D">
            <w:pPr>
              <w:jc w:val="center"/>
              <w:rPr>
                <w:rFonts w:hint="eastAsia" w:ascii="宋体" w:hAnsi="宋体" w:eastAsia="宋体" w:cs="宋体"/>
                <w:sz w:val="30"/>
                <w:szCs w:val="30"/>
                <w:vertAlign w:val="baseline"/>
              </w:rPr>
            </w:pPr>
          </w:p>
        </w:tc>
      </w:tr>
      <w:tr w14:paraId="08A285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2" w:hRule="atLeast"/>
        </w:trPr>
        <w:tc>
          <w:tcPr>
            <w:tcW w:w="2299" w:type="dxa"/>
            <w:vAlign w:val="center"/>
          </w:tcPr>
          <w:p w14:paraId="63EAB6CB">
            <w:pPr>
              <w:jc w:val="center"/>
              <w:rPr>
                <w:rFonts w:hint="eastAsia" w:ascii="宋体" w:hAnsi="宋体" w:eastAsia="宋体" w:cs="宋体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5900" w:type="dxa"/>
            <w:vAlign w:val="center"/>
          </w:tcPr>
          <w:p w14:paraId="05BB6C47">
            <w:pPr>
              <w:jc w:val="center"/>
              <w:rPr>
                <w:rFonts w:hint="eastAsia" w:ascii="宋体" w:hAnsi="宋体" w:eastAsia="宋体" w:cs="宋体"/>
                <w:sz w:val="30"/>
                <w:szCs w:val="30"/>
                <w:vertAlign w:val="baseline"/>
              </w:rPr>
            </w:pPr>
          </w:p>
        </w:tc>
      </w:tr>
      <w:tr w14:paraId="3F7BC8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0" w:hRule="atLeast"/>
        </w:trPr>
        <w:tc>
          <w:tcPr>
            <w:tcW w:w="2299" w:type="dxa"/>
            <w:vAlign w:val="center"/>
          </w:tcPr>
          <w:p w14:paraId="72D28326">
            <w:pPr>
              <w:jc w:val="center"/>
              <w:rPr>
                <w:rFonts w:hint="eastAsia" w:ascii="宋体" w:hAnsi="宋体" w:eastAsia="宋体" w:cs="宋体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  <w:vertAlign w:val="baseline"/>
                <w:lang w:val="en-US" w:eastAsia="zh-CN"/>
              </w:rPr>
              <w:t>邮箱</w:t>
            </w:r>
          </w:p>
        </w:tc>
        <w:tc>
          <w:tcPr>
            <w:tcW w:w="5900" w:type="dxa"/>
            <w:vAlign w:val="center"/>
          </w:tcPr>
          <w:p w14:paraId="088DC91A">
            <w:pPr>
              <w:jc w:val="center"/>
              <w:rPr>
                <w:rFonts w:hint="eastAsia" w:ascii="宋体" w:hAnsi="宋体" w:eastAsia="宋体" w:cs="宋体"/>
                <w:sz w:val="30"/>
                <w:szCs w:val="30"/>
                <w:vertAlign w:val="baseline"/>
              </w:rPr>
            </w:pPr>
          </w:p>
        </w:tc>
      </w:tr>
      <w:tr w14:paraId="3939B3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0" w:hRule="atLeast"/>
        </w:trPr>
        <w:tc>
          <w:tcPr>
            <w:tcW w:w="2299" w:type="dxa"/>
            <w:vAlign w:val="center"/>
          </w:tcPr>
          <w:p w14:paraId="24E79199">
            <w:pPr>
              <w:jc w:val="center"/>
              <w:rPr>
                <w:rFonts w:hint="default" w:ascii="宋体" w:hAnsi="宋体" w:eastAsia="宋体" w:cs="宋体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  <w:vertAlign w:val="baseline"/>
                <w:lang w:val="en-US" w:eastAsia="zh-CN"/>
              </w:rPr>
              <w:t>报名时间</w:t>
            </w:r>
          </w:p>
        </w:tc>
        <w:tc>
          <w:tcPr>
            <w:tcW w:w="5900" w:type="dxa"/>
            <w:vAlign w:val="center"/>
          </w:tcPr>
          <w:p w14:paraId="7B85B3CA">
            <w:pPr>
              <w:jc w:val="center"/>
              <w:rPr>
                <w:rFonts w:hint="default" w:ascii="宋体" w:hAnsi="宋体" w:eastAsia="宋体" w:cs="宋体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0"/>
                <w:szCs w:val="30"/>
                <w:vertAlign w:val="baseline"/>
                <w:lang w:val="en-US" w:eastAsia="zh-CN"/>
              </w:rPr>
              <w:t xml:space="preserve">           年    月    日</w:t>
            </w:r>
          </w:p>
        </w:tc>
      </w:tr>
    </w:tbl>
    <w:p w14:paraId="007DCF15"/>
    <w:p w14:paraId="13D61F60"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2F0BE1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978129">
                          <w:pPr>
                            <w:pStyle w:val="2"/>
                          </w:pPr>
                          <w:r>
                            <w:rPr>
                              <w:rFonts w:hint="eastAsia" w:ascii="仿宋" w:hAnsi="仿宋" w:eastAsia="仿宋" w:cs="仿宋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仿宋" w:hAnsi="仿宋" w:eastAsia="仿宋" w:cs="仿宋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" w:hAnsi="仿宋" w:eastAsia="仿宋" w:cs="仿宋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" w:hAnsi="仿宋" w:eastAsia="仿宋" w:cs="仿宋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hint="eastAsia" w:ascii="仿宋" w:hAnsi="仿宋" w:eastAsia="仿宋" w:cs="仿宋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fyKa9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B978129">
                    <w:pPr>
                      <w:pStyle w:val="2"/>
                    </w:pPr>
                    <w:r>
                      <w:rPr>
                        <w:rFonts w:hint="eastAsia" w:ascii="仿宋" w:hAnsi="仿宋" w:eastAsia="仿宋" w:cs="仿宋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仿宋" w:hAnsi="仿宋" w:eastAsia="仿宋" w:cs="仿宋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仿宋" w:hAnsi="仿宋" w:eastAsia="仿宋" w:cs="仿宋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仿宋" w:hAnsi="仿宋" w:eastAsia="仿宋" w:cs="仿宋"/>
                        <w:sz w:val="24"/>
                        <w:szCs w:val="24"/>
                      </w:rPr>
                      <w:t>1</w:t>
                    </w:r>
                    <w:r>
                      <w:rPr>
                        <w:rFonts w:hint="eastAsia" w:ascii="仿宋" w:hAnsi="仿宋" w:eastAsia="仿宋" w:cs="仿宋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1A0A36"/>
    <w:rsid w:val="04F15CAC"/>
    <w:rsid w:val="17C70888"/>
    <w:rsid w:val="19337094"/>
    <w:rsid w:val="231A0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/>
      <w:kern w:val="0"/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Table Text"/>
    <w:basedOn w:val="1"/>
    <w:semiHidden/>
    <w:qFormat/>
    <w:uiPriority w:val="0"/>
    <w:rPr>
      <w:rFonts w:ascii="Times New Roman" w:hAnsi="Times New Roman" w:eastAsia="Times New Roman" w:cs="Times New Roman"/>
      <w:sz w:val="28"/>
      <w:szCs w:val="2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2025-11-06T08:28:00Z</dcterms:created>
  <dc:creator>实施</dc:creator>
  <cp:lastModifiedBy>实施</cp:lastModifiedBy>
  <dcterms:modified xsi:type="dcterms:W3CDTF">2025-11-06T08:32:44Z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117CF21CD7934AFAAF5704B02F24EC3E_11</vt:lpwstr>
  </property>
  <property fmtid="{D5CDD505-2E9C-101B-9397-08002B2CF9AE}" pid="4" name="KSOTemplateDocerSaveRecord">
    <vt:lpwstr>eyJoZGlkIjoiNDc0NWIxMGUyMzJkZWVkZTI1NjUyMjQxMDIyYWMyMDQiLCJ1c2VySWQiOiI0MzAyNTU5NjAifQ==</vt:lpwstr>
  </property>
</Properties>
</file>